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1C214">
      <w:pPr>
        <w:spacing w:line="480" w:lineRule="auto"/>
        <w:rPr>
          <w:rFonts w:hint="eastAsia"/>
          <w:b/>
          <w:bCs/>
          <w:sz w:val="52"/>
          <w:szCs w:val="52"/>
        </w:rPr>
      </w:pPr>
    </w:p>
    <w:p w14:paraId="4705AB47">
      <w:pPr>
        <w:spacing w:line="480" w:lineRule="auto"/>
        <w:rPr>
          <w:rFonts w:hint="eastAsia"/>
          <w:b/>
          <w:bCs/>
          <w:sz w:val="52"/>
          <w:szCs w:val="52"/>
        </w:rPr>
      </w:pPr>
    </w:p>
    <w:p w14:paraId="036D8100">
      <w:pPr>
        <w:spacing w:line="480" w:lineRule="auto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《</w:t>
      </w:r>
      <w:r>
        <w:rPr>
          <w:b/>
          <w:bCs/>
          <w:sz w:val="52"/>
          <w:szCs w:val="52"/>
        </w:rPr>
        <w:t>（2</w:t>
      </w:r>
      <w:r>
        <w:rPr>
          <w:rFonts w:hint="eastAsia"/>
          <w:b/>
          <w:bCs/>
          <w:sz w:val="52"/>
          <w:szCs w:val="52"/>
          <w:lang w:val="en-US" w:eastAsia="zh-CN"/>
        </w:rPr>
        <w:t xml:space="preserve"> T</w:t>
      </w:r>
      <w:r>
        <w:rPr>
          <w:b/>
          <w:bCs/>
          <w:sz w:val="52"/>
          <w:szCs w:val="52"/>
        </w:rPr>
        <w:t>~12</w:t>
      </w:r>
      <w:r>
        <w:rPr>
          <w:rFonts w:hint="eastAsia"/>
          <w:b/>
          <w:bCs/>
          <w:sz w:val="52"/>
          <w:szCs w:val="52"/>
          <w:lang w:val="en-US" w:eastAsia="zh-CN"/>
        </w:rPr>
        <w:t xml:space="preserve"> T</w:t>
      </w:r>
      <w:r>
        <w:rPr>
          <w:b/>
          <w:bCs/>
          <w:sz w:val="52"/>
          <w:szCs w:val="52"/>
        </w:rPr>
        <w:t>）</w:t>
      </w:r>
      <w:r>
        <w:rPr>
          <w:rFonts w:hint="eastAsia"/>
          <w:b/>
          <w:bCs/>
          <w:sz w:val="52"/>
          <w:szCs w:val="52"/>
        </w:rPr>
        <w:t>高场磁体校准规范》</w:t>
      </w:r>
    </w:p>
    <w:p w14:paraId="1AFA8936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44"/>
          <w:szCs w:val="44"/>
        </w:rPr>
        <w:t>测量不确定度评定</w:t>
      </w:r>
    </w:p>
    <w:p w14:paraId="186E968A">
      <w:pPr>
        <w:jc w:val="center"/>
        <w:rPr>
          <w:rFonts w:hint="eastAsia"/>
          <w:b/>
          <w:bCs/>
          <w:sz w:val="30"/>
          <w:szCs w:val="30"/>
        </w:rPr>
      </w:pPr>
    </w:p>
    <w:p w14:paraId="6591EF44">
      <w:pPr>
        <w:jc w:val="center"/>
        <w:rPr>
          <w:rFonts w:hint="eastAsia"/>
          <w:b/>
          <w:bCs/>
          <w:sz w:val="30"/>
          <w:szCs w:val="30"/>
        </w:rPr>
      </w:pPr>
    </w:p>
    <w:p w14:paraId="2A94FA51">
      <w:pPr>
        <w:jc w:val="center"/>
        <w:rPr>
          <w:rFonts w:hint="eastAsia"/>
          <w:b/>
          <w:bCs/>
          <w:sz w:val="30"/>
          <w:szCs w:val="30"/>
        </w:rPr>
      </w:pPr>
    </w:p>
    <w:p w14:paraId="3053BD82">
      <w:pPr>
        <w:jc w:val="center"/>
        <w:rPr>
          <w:rFonts w:hint="eastAsia"/>
          <w:b/>
          <w:bCs/>
          <w:sz w:val="30"/>
          <w:szCs w:val="30"/>
        </w:rPr>
      </w:pPr>
    </w:p>
    <w:p w14:paraId="1799F407">
      <w:pPr>
        <w:jc w:val="center"/>
        <w:rPr>
          <w:rFonts w:hint="eastAsia"/>
          <w:b/>
          <w:bCs/>
          <w:sz w:val="30"/>
          <w:szCs w:val="30"/>
        </w:rPr>
      </w:pPr>
    </w:p>
    <w:p w14:paraId="0833752E">
      <w:pPr>
        <w:jc w:val="center"/>
        <w:rPr>
          <w:rFonts w:hint="eastAsia"/>
          <w:sz w:val="24"/>
          <w:szCs w:val="24"/>
        </w:rPr>
      </w:pPr>
    </w:p>
    <w:p w14:paraId="392327E0">
      <w:pPr>
        <w:jc w:val="center"/>
        <w:rPr>
          <w:rFonts w:hint="eastAsia"/>
          <w:sz w:val="24"/>
          <w:szCs w:val="24"/>
        </w:rPr>
      </w:pPr>
    </w:p>
    <w:p w14:paraId="14BD7EC4">
      <w:pPr>
        <w:jc w:val="center"/>
        <w:rPr>
          <w:rFonts w:hint="eastAsia"/>
          <w:sz w:val="24"/>
          <w:szCs w:val="24"/>
        </w:rPr>
      </w:pPr>
    </w:p>
    <w:p w14:paraId="44B4D622">
      <w:pPr>
        <w:jc w:val="center"/>
        <w:rPr>
          <w:rFonts w:hint="eastAsia"/>
          <w:sz w:val="24"/>
          <w:szCs w:val="24"/>
        </w:rPr>
      </w:pPr>
    </w:p>
    <w:p w14:paraId="6887A147">
      <w:pPr>
        <w:jc w:val="center"/>
        <w:rPr>
          <w:rFonts w:hint="eastAsia"/>
          <w:sz w:val="24"/>
          <w:szCs w:val="24"/>
        </w:rPr>
      </w:pPr>
    </w:p>
    <w:p w14:paraId="36431336">
      <w:pPr>
        <w:spacing w:line="480" w:lineRule="auto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T</w:t>
      </w:r>
      <w:r>
        <w:rPr>
          <w:rFonts w:ascii="Times New Roman" w:hAnsi="Times New Roman" w:eastAsia="宋体" w:cs="Times New Roman"/>
          <w:sz w:val="28"/>
          <w:szCs w:val="28"/>
        </w:rPr>
        <w:t>~12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T</w:t>
      </w:r>
      <w:r>
        <w:rPr>
          <w:rFonts w:ascii="Times New Roman" w:hAnsi="Times New Roman" w:eastAsia="宋体" w:cs="Times New Roman"/>
          <w:sz w:val="28"/>
          <w:szCs w:val="28"/>
        </w:rPr>
        <w:t>）高场磁体校准规范起草组</w:t>
      </w:r>
    </w:p>
    <w:p w14:paraId="4644C01B">
      <w:pPr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8"/>
          <w:szCs w:val="28"/>
        </w:rPr>
        <w:t>2026年07月07日</w:t>
      </w:r>
    </w:p>
    <w:p w14:paraId="568A9C35">
      <w:pPr>
        <w:jc w:val="center"/>
        <w:rPr>
          <w:rFonts w:hint="eastAsia"/>
          <w:b/>
          <w:bCs/>
          <w:sz w:val="30"/>
          <w:szCs w:val="30"/>
        </w:rPr>
      </w:pPr>
    </w:p>
    <w:p w14:paraId="1E977346">
      <w:pPr>
        <w:jc w:val="center"/>
        <w:rPr>
          <w:rFonts w:hint="eastAsia"/>
          <w:b/>
          <w:bCs/>
          <w:sz w:val="30"/>
          <w:szCs w:val="30"/>
        </w:rPr>
      </w:pPr>
    </w:p>
    <w:p w14:paraId="332E0BFD">
      <w:pPr>
        <w:rPr>
          <w:rFonts w:hint="eastAsia" w:ascii="黑体" w:eastAsia="黑体"/>
          <w:sz w:val="28"/>
          <w:szCs w:val="28"/>
        </w:rPr>
      </w:pPr>
      <w:bookmarkStart w:id="0" w:name="_Toc16234"/>
      <w:bookmarkStart w:id="1" w:name="_Toc433627409"/>
      <w:r>
        <w:rPr>
          <w:rFonts w:hint="eastAsia" w:ascii="黑体" w:eastAsia="黑体"/>
          <w:sz w:val="28"/>
          <w:szCs w:val="28"/>
        </w:rPr>
        <w:br w:type="page"/>
      </w:r>
    </w:p>
    <w:p w14:paraId="088EAE4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适用于</w:t>
      </w:r>
      <w:r>
        <w:rPr>
          <w:rFonts w:ascii="Times New Roman" w:hAnsi="Times New Roman" w:eastAsia="宋体" w:cs="Times New Roman"/>
          <w:sz w:val="24"/>
        </w:rPr>
        <w:t>（2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T</w:t>
      </w:r>
      <w:r>
        <w:rPr>
          <w:rFonts w:ascii="Times New Roman" w:hAnsi="Times New Roman" w:eastAsia="宋体" w:cs="Times New Roman"/>
          <w:sz w:val="24"/>
        </w:rPr>
        <w:t>~12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T</w:t>
      </w:r>
      <w:r>
        <w:rPr>
          <w:rFonts w:ascii="Times New Roman" w:hAnsi="Times New Roman" w:eastAsia="宋体" w:cs="Times New Roman"/>
          <w:sz w:val="24"/>
        </w:rPr>
        <w:t>）</w:t>
      </w:r>
      <w:r>
        <w:rPr>
          <w:rFonts w:hint="eastAsia" w:ascii="宋体" w:hAnsi="宋体" w:eastAsia="宋体" w:cs="宋体"/>
          <w:sz w:val="24"/>
        </w:rPr>
        <w:t>高场磁体校准规范的测量不确定度的评定与表示。依据JJF 1059.1-2012《测量不确定度评定与表示》进行评定。</w:t>
      </w:r>
    </w:p>
    <w:bookmarkEnd w:id="0"/>
    <w:bookmarkEnd w:id="1"/>
    <w:p w14:paraId="2A8C56B8">
      <w:pPr>
        <w:spacing w:before="156" w:beforeLines="50" w:after="156" w:afterLines="50"/>
        <w:ind w:left="-3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1</w:t>
      </w:r>
      <w:r>
        <w:rPr>
          <w:rFonts w:ascii="宋体" w:hAnsi="宋体" w:eastAsia="宋体" w:cs="Times New Roman"/>
          <w:sz w:val="24"/>
          <w:szCs w:val="20"/>
        </w:rPr>
        <w:t xml:space="preserve"> 概述</w:t>
      </w:r>
    </w:p>
    <w:p w14:paraId="64E79507"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宋体" w:hAnsi="宋体" w:eastAsia="宋体" w:cs="Times New Roman"/>
          <w:sz w:val="24"/>
          <w:szCs w:val="20"/>
        </w:rPr>
        <w:t>以高场磁体校准为例，采用</w:t>
      </w:r>
      <w:r>
        <w:rPr>
          <w:rFonts w:ascii="宋体" w:hAnsi="宋体" w:eastAsia="宋体" w:cs="Times New Roman"/>
          <w:color w:val="000000"/>
          <w:sz w:val="24"/>
          <w:szCs w:val="20"/>
        </w:rPr>
        <w:t>直接测量</w:t>
      </w:r>
      <w:r>
        <w:rPr>
          <w:rFonts w:ascii="宋体" w:hAnsi="宋体" w:eastAsia="宋体" w:cs="Times New Roman"/>
          <w:sz w:val="24"/>
          <w:szCs w:val="20"/>
        </w:rPr>
        <w:t>法，说明高场磁体磁感应强度示值误差的测量不确定度评定的程序</w:t>
      </w:r>
      <w:bookmarkStart w:id="5" w:name="_GoBack"/>
      <w:bookmarkEnd w:id="5"/>
      <w:r>
        <w:rPr>
          <w:rFonts w:ascii="宋体" w:hAnsi="宋体" w:eastAsia="宋体" w:cs="Times New Roman"/>
          <w:sz w:val="24"/>
          <w:szCs w:val="20"/>
        </w:rPr>
        <w:t>。</w:t>
      </w:r>
    </w:p>
    <w:p w14:paraId="234D12A0">
      <w:pPr>
        <w:spacing w:before="156" w:beforeLines="50" w:after="156" w:afterLines="5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</w:t>
      </w:r>
      <w:r>
        <w:rPr>
          <w:rFonts w:ascii="宋体" w:hAnsi="宋体" w:eastAsia="宋体" w:cs="Times New Roman"/>
          <w:sz w:val="24"/>
          <w:szCs w:val="20"/>
        </w:rPr>
        <w:t xml:space="preserve"> 高场磁体磁感应强度示值误差测量不确定评定</w:t>
      </w:r>
    </w:p>
    <w:p w14:paraId="5ED038DF">
      <w:pPr>
        <w:spacing w:before="156" w:beforeLines="50" w:after="156" w:afterLines="5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2.1</w:t>
      </w:r>
      <w:r>
        <w:rPr>
          <w:rFonts w:ascii="宋体" w:hAnsi="宋体" w:eastAsia="宋体" w:cs="Times New Roman"/>
          <w:sz w:val="24"/>
          <w:szCs w:val="20"/>
        </w:rPr>
        <w:t xml:space="preserve"> 测量原理</w:t>
      </w:r>
    </w:p>
    <w:p w14:paraId="7522BE6A"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color w:val="000000"/>
          <w:sz w:val="24"/>
          <w:szCs w:val="20"/>
        </w:rPr>
      </w:pPr>
      <w:r>
        <w:rPr>
          <w:rFonts w:ascii="宋体" w:hAnsi="宋体" w:eastAsia="宋体" w:cs="Times New Roman"/>
          <w:sz w:val="24"/>
          <w:szCs w:val="24"/>
        </w:rPr>
        <w:t>根据高场磁体被校位置，</w:t>
      </w:r>
      <w:r>
        <w:rPr>
          <w:rFonts w:ascii="Times New Roman" w:hAnsi="Times New Roman" w:eastAsia="宋体" w:cs="Times New Roman"/>
          <w:sz w:val="24"/>
          <w:szCs w:val="20"/>
        </w:rPr>
        <w:t>将标准磁强计（核磁共振测场仪）探头置于该位置</w:t>
      </w:r>
      <w:r>
        <w:rPr>
          <w:rFonts w:ascii="宋体" w:hAnsi="宋体" w:eastAsia="宋体" w:cs="Times New Roman"/>
          <w:sz w:val="24"/>
          <w:szCs w:val="24"/>
        </w:rPr>
        <w:t>，励磁到校准点，稳定后记录数据，得到磁感应强度测量值</w:t>
      </w:r>
      <w:r>
        <w:rPr>
          <w:rFonts w:ascii="Times New Roman" w:hAnsi="Times New Roman" w:eastAsia="宋体" w:cs="Times New Roman"/>
          <w:i/>
          <w:iCs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ascii="宋体" w:hAnsi="宋体" w:eastAsia="宋体" w:cs="Times New Roman"/>
          <w:sz w:val="24"/>
          <w:szCs w:val="24"/>
        </w:rPr>
        <w:t>记录高场磁体示值</w:t>
      </w:r>
      <w:r>
        <w:rPr>
          <w:rFonts w:ascii="Times New Roman" w:hAnsi="Times New Roman" w:eastAsia="宋体" w:cs="Times New Roman"/>
          <w:i/>
          <w:iCs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X</w:t>
      </w:r>
      <w:r>
        <w:rPr>
          <w:rFonts w:ascii="宋体" w:hAnsi="宋体" w:eastAsia="宋体" w:cs="Times New Roman"/>
          <w:sz w:val="24"/>
          <w:szCs w:val="24"/>
        </w:rPr>
        <w:t>。该方法</w:t>
      </w:r>
      <w:r>
        <w:rPr>
          <w:rFonts w:ascii="宋体" w:hAnsi="宋体" w:eastAsia="宋体" w:cs="Times New Roman"/>
          <w:color w:val="000000"/>
          <w:sz w:val="24"/>
          <w:szCs w:val="20"/>
        </w:rPr>
        <w:t>采用核磁共振法测量磁场，核磁共振法基于原子核在磁场中发生进动的物理现象，被测磁场值由探头内样品原子核共振频率</w:t>
      </w:r>
      <w:r>
        <w:rPr>
          <w:rFonts w:ascii="Times New Roman" w:hAnsi="Times New Roman" w:eastAsia="宋体" w:cs="Times New Roman"/>
          <w:i/>
          <w:iCs/>
          <w:color w:val="000000"/>
          <w:sz w:val="24"/>
          <w:szCs w:val="20"/>
        </w:rPr>
        <w:t>f</w:t>
      </w:r>
      <w:r>
        <w:rPr>
          <w:rFonts w:ascii="宋体" w:hAnsi="宋体" w:eastAsia="宋体" w:cs="Times New Roman"/>
          <w:color w:val="000000"/>
          <w:sz w:val="24"/>
          <w:szCs w:val="20"/>
        </w:rPr>
        <w:t>和原子核旋磁比常数</w:t>
      </w:r>
      <w:r>
        <w:rPr>
          <w:rFonts w:ascii="Times New Roman" w:hAnsi="Times New Roman" w:eastAsia="宋体" w:cs="Times New Roman"/>
          <w:i/>
          <w:iCs/>
          <w:color w:val="000000"/>
          <w:sz w:val="24"/>
          <w:szCs w:val="20"/>
        </w:rPr>
        <w:t>γ</w:t>
      </w:r>
      <w:r>
        <w:rPr>
          <w:rFonts w:ascii="宋体" w:hAnsi="宋体" w:eastAsia="宋体" w:cs="Times New Roman"/>
          <w:color w:val="000000"/>
          <w:sz w:val="24"/>
          <w:szCs w:val="20"/>
        </w:rPr>
        <w:t>决定，通过该频率</w:t>
      </w:r>
      <w:r>
        <w:rPr>
          <w:rFonts w:ascii="Times New Roman" w:hAnsi="Times New Roman" w:eastAsia="宋体" w:cs="Times New Roman"/>
          <w:i/>
          <w:iCs/>
          <w:color w:val="000000"/>
          <w:sz w:val="24"/>
          <w:szCs w:val="20"/>
        </w:rPr>
        <w:t>f</w:t>
      </w:r>
      <w:r>
        <w:rPr>
          <w:rFonts w:ascii="宋体" w:hAnsi="宋体" w:eastAsia="宋体" w:cs="Times New Roman"/>
          <w:color w:val="000000"/>
          <w:sz w:val="24"/>
          <w:szCs w:val="20"/>
        </w:rPr>
        <w:t>根据公式</w:t>
      </w:r>
    </w:p>
    <w:p w14:paraId="50EFEEEE">
      <w:pPr>
        <w:ind w:firstLine="480" w:firstLineChars="200"/>
        <w:jc w:val="center"/>
        <w:rPr>
          <w:rFonts w:hint="eastAsia" w:ascii="宋体" w:hAnsi="宋体" w:eastAsia="宋体" w:cs="Times New Roman"/>
          <w:color w:val="000000"/>
          <w:sz w:val="24"/>
          <w:szCs w:val="20"/>
        </w:rPr>
      </w:pPr>
      <w:r>
        <w:rPr>
          <w:rFonts w:ascii="Times New Roman" w:hAnsi="Times New Roman" w:eastAsia="黑体" w:cs="Times New Roman"/>
          <w:position w:val="-28"/>
          <w:sz w:val="24"/>
          <w:szCs w:val="24"/>
        </w:rPr>
        <w:object>
          <v:shape id="_x0000_i1025" o:spt="75" type="#_x0000_t75" style="height:33.3pt;width:50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</w:p>
    <w:p w14:paraId="1FADF535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宋体" w:hAnsi="宋体" w:eastAsia="宋体" w:cs="Times New Roman"/>
          <w:color w:val="000000"/>
          <w:sz w:val="24"/>
          <w:szCs w:val="20"/>
        </w:rPr>
        <w:t>得到磁场值。</w:t>
      </w:r>
    </w:p>
    <w:p w14:paraId="6FA4B670">
      <w:pPr>
        <w:spacing w:before="156" w:beforeLines="50" w:after="156" w:afterLines="50"/>
        <w:ind w:left="-3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2.2</w:t>
      </w:r>
      <w:r>
        <w:rPr>
          <w:rFonts w:ascii="宋体" w:hAnsi="宋体" w:eastAsia="宋体" w:cs="Times New Roman"/>
          <w:sz w:val="24"/>
          <w:szCs w:val="20"/>
        </w:rPr>
        <w:t xml:space="preserve"> 测量模型</w:t>
      </w:r>
    </w:p>
    <w:p w14:paraId="1CF7CBC5">
      <w:pPr>
        <w:snapToGrid w:val="0"/>
        <w:spacing w:line="360" w:lineRule="auto"/>
        <w:ind w:firstLine="48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采用核磁共振标准磁强计测量磁场， 被校磁体磁感应强度示值误差按下面公式计算：</w:t>
      </w:r>
    </w:p>
    <w:p w14:paraId="6950F963">
      <w:pPr>
        <w:ind w:left="357"/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position w:val="-12"/>
          <w:sz w:val="24"/>
          <w:szCs w:val="24"/>
        </w:rPr>
        <w:object>
          <v:shape id="_x0000_i1026" o:spt="75" type="#_x0000_t75" style="height:18.35pt;width:69.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 w14:paraId="627C4D57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式中：</w:t>
      </w:r>
    </w:p>
    <w:p w14:paraId="55AFDE8B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position w:val="-4"/>
          <w:sz w:val="24"/>
          <w:szCs w:val="24"/>
        </w:rPr>
        <w:object>
          <v:shape id="_x0000_i1027" o:spt="75" type="#_x0000_t75" style="height:12.9pt;width:1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——被校磁体示值误差；</w:t>
      </w:r>
    </w:p>
    <w:p w14:paraId="56F94F77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position w:val="-12"/>
          <w:sz w:val="24"/>
          <w:szCs w:val="24"/>
        </w:rPr>
        <w:object>
          <v:shape id="_x0000_i1028" o:spt="75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——被校磁体磁感应强度示值；</w:t>
      </w:r>
    </w:p>
    <w:p w14:paraId="356A6152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position w:val="-12"/>
          <w:sz w:val="24"/>
          <w:szCs w:val="24"/>
        </w:rPr>
        <w:object>
          <v:shape id="_x0000_i1029" o:spt="75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——磁体磁感应强度标准值。</w:t>
      </w:r>
    </w:p>
    <w:p w14:paraId="4D245F81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各输入量之间互不相关，合成标准不确定度可按下面公式计算：</w:t>
      </w:r>
    </w:p>
    <w:p w14:paraId="0770B41B">
      <w:pPr>
        <w:autoSpaceDE w:val="0"/>
        <w:autoSpaceDN w:val="0"/>
        <w:adjustRightInd w:val="0"/>
        <w:spacing w:line="360" w:lineRule="auto"/>
        <w:ind w:left="420" w:leftChars="200" w:right="-2" w:rightChars="-1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eastAsia="黑体"/>
          <w:position w:val="-13"/>
          <w:sz w:val="24"/>
          <w:szCs w:val="24"/>
        </w:rPr>
        <w:object>
          <v:shape id="_x0000_i1030" o:spt="75" type="#_x0000_t75" style="height:22.4pt;width:161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AxMath" ShapeID="_x0000_i1030" DrawAspect="Content" ObjectID="_1468075730" r:id="rId15">
            <o:LockedField>false</o:LockedField>
          </o:OLEObject>
        </w:object>
      </w:r>
    </w:p>
    <w:p w14:paraId="09BA13ED">
      <w:pPr>
        <w:autoSpaceDE w:val="0"/>
        <w:autoSpaceDN w:val="0"/>
        <w:adjustRightInd w:val="0"/>
        <w:spacing w:line="360" w:lineRule="auto"/>
        <w:ind w:left="420" w:leftChars="200" w:right="-2" w:rightChars="-1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式中：</w:t>
      </w:r>
    </w:p>
    <w:p w14:paraId="429B33B4">
      <w:pPr>
        <w:autoSpaceDE w:val="0"/>
        <w:autoSpaceDN w:val="0"/>
        <w:adjustRightInd w:val="0"/>
        <w:spacing w:line="360" w:lineRule="auto"/>
        <w:ind w:left="420" w:leftChars="200" w:right="-2" w:rightChars="-1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c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Cambria Math" w:hAnsi="Cambria Math" w:eastAsia="宋体" w:cs="Cambria Math"/>
          <w:kern w:val="0"/>
          <w:sz w:val="20"/>
          <w:szCs w:val="20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)为被校磁体磁感应强度示值误差的合成标准不确定度；</w:t>
      </w:r>
    </w:p>
    <w:p w14:paraId="571B5A9A">
      <w:pPr>
        <w:autoSpaceDE w:val="0"/>
        <w:autoSpaceDN w:val="0"/>
        <w:adjustRightInd w:val="0"/>
        <w:spacing w:line="360" w:lineRule="auto"/>
        <w:ind w:left="420" w:leftChars="200" w:right="-2" w:rightChars="-1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)为被校磁体引入的标准不确定度；</w:t>
      </w:r>
    </w:p>
    <w:p w14:paraId="4F6FBA75">
      <w:pPr>
        <w:autoSpaceDE w:val="0"/>
        <w:autoSpaceDN w:val="0"/>
        <w:adjustRightInd w:val="0"/>
        <w:spacing w:line="360" w:lineRule="auto"/>
        <w:ind w:left="420" w:leftChars="200" w:right="-2" w:rightChars="-1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)为参考标准引入的标准不确定度。</w:t>
      </w:r>
    </w:p>
    <w:p w14:paraId="0C5105A8">
      <w:pPr>
        <w:spacing w:before="156" w:beforeLines="50" w:after="156" w:afterLines="50"/>
        <w:ind w:left="-3"/>
        <w:rPr>
          <w:rFonts w:hint="eastAsia" w:ascii="Times New Roman" w:hAnsi="宋体" w:eastAsia="宋体" w:cs="Times New Roman"/>
          <w:sz w:val="24"/>
          <w:szCs w:val="24"/>
        </w:rPr>
      </w:pPr>
      <w:bookmarkStart w:id="2" w:name="OLE_LINK7"/>
      <w:r>
        <w:rPr>
          <w:rFonts w:ascii="Times New Roman" w:hAnsi="Times New Roman" w:eastAsia="宋体" w:cs="Times New Roman"/>
          <w:sz w:val="24"/>
          <w:szCs w:val="20"/>
        </w:rPr>
        <w:t>2.3</w:t>
      </w:r>
      <w:r>
        <w:rPr>
          <w:rFonts w:ascii="Times New Roman" w:hAnsi="宋体" w:eastAsia="宋体" w:cs="Times New Roman"/>
          <w:sz w:val="24"/>
          <w:szCs w:val="24"/>
        </w:rPr>
        <w:t>标准不确定度来源</w:t>
      </w:r>
    </w:p>
    <w:p w14:paraId="1B52A7C5">
      <w:pPr>
        <w:spacing w:before="156" w:beforeLines="50" w:after="156" w:afterLines="50"/>
        <w:ind w:left="-3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 xml:space="preserve">2.3.1 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)的来源</w:t>
      </w:r>
    </w:p>
    <w:p w14:paraId="4CFAEAB6">
      <w:pPr>
        <w:spacing w:before="156" w:beforeLines="50" w:after="156" w:afterLines="50"/>
        <w:ind w:left="-3"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被校磁体读数引入的标准不确定度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0"/>
        </w:rPr>
        <w:t>。</w:t>
      </w:r>
    </w:p>
    <w:p w14:paraId="510B2028">
      <w:pPr>
        <w:spacing w:before="156" w:beforeLines="50" w:after="156" w:afterLines="50" w:line="360" w:lineRule="auto"/>
        <w:ind w:left="-6"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注：这里被校磁体读数显示值为励磁电流源励磁显示的磁感应强度值，被校磁体磁场不均匀性、稳定性等影响包含在标准磁强计对被校磁体的重复性测量中。</w:t>
      </w:r>
    </w:p>
    <w:p w14:paraId="32DD88C8">
      <w:pPr>
        <w:spacing w:before="156" w:beforeLines="50" w:after="156" w:afterLines="50"/>
        <w:ind w:left="-3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 xml:space="preserve">2.3.2 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）的来源</w:t>
      </w:r>
    </w:p>
    <w:p w14:paraId="77D529DC">
      <w:pPr>
        <w:spacing w:before="156" w:beforeLines="50" w:after="156" w:afterLines="50"/>
        <w:ind w:left="-3"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a）标准磁强计引入的标准不确定度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；</w:t>
      </w:r>
    </w:p>
    <w:p w14:paraId="47B3C885">
      <w:pPr>
        <w:spacing w:before="156" w:beforeLines="50" w:after="156" w:afterLines="50"/>
        <w:ind w:left="-3"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b）探头磁化引入的标准不确定度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；</w:t>
      </w:r>
    </w:p>
    <w:p w14:paraId="572069DC">
      <w:pPr>
        <w:spacing w:before="156" w:beforeLines="50" w:after="156" w:afterLines="50"/>
        <w:ind w:left="-3"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c）标准磁强计读数引入的标准不确定度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)。</w:t>
      </w:r>
    </w:p>
    <w:bookmarkEnd w:id="2"/>
    <w:p w14:paraId="118A0B12">
      <w:pPr>
        <w:spacing w:before="156" w:beforeLines="50" w:after="156" w:afterLines="50"/>
        <w:rPr>
          <w:rFonts w:hint="eastAsia" w:ascii="Times New Roman" w:hAnsi="宋体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2.4</w:t>
      </w:r>
      <w:r>
        <w:rPr>
          <w:rFonts w:ascii="Times New Roman" w:hAnsi="宋体" w:eastAsia="宋体" w:cs="Times New Roman"/>
          <w:sz w:val="24"/>
          <w:szCs w:val="24"/>
        </w:rPr>
        <w:t>标准不确定度评定</w:t>
      </w:r>
    </w:p>
    <w:p w14:paraId="77D76576">
      <w:pPr>
        <w:spacing w:before="156" w:beforeLines="50" w:after="156" w:afterLines="50"/>
        <w:ind w:left="-3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2.4.1 被校磁体读数引入的标准不确定度</w:t>
      </w:r>
      <w:bookmarkStart w:id="3" w:name="OLE_LINK2"/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bookmarkEnd w:id="3"/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</w:p>
    <w:p w14:paraId="1D5C5B5A">
      <w:pPr>
        <w:spacing w:before="156" w:beforeLines="50" w:after="156" w:afterLines="50"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被校磁体读数引入的标准不确定度主要由自身引入（如电流源波动），采用统计评定方法，</w:t>
      </w:r>
      <w:r>
        <w:rPr>
          <w:rFonts w:ascii="宋体" w:hAnsi="宋体" w:eastAsia="宋体" w:cs="Times New Roman"/>
          <w:sz w:val="24"/>
          <w:szCs w:val="24"/>
        </w:rPr>
        <w:t>在相同环境条件下，重复读取多次，获得数据如表1所示。</w:t>
      </w:r>
    </w:p>
    <w:p w14:paraId="7B294C5B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表1 </w:t>
      </w:r>
      <w:r>
        <w:rPr>
          <w:rFonts w:ascii="Times New Roman" w:hAnsi="Times New Roman" w:eastAsia="宋体" w:cs="Times New Roman"/>
          <w:szCs w:val="21"/>
        </w:rPr>
        <w:t xml:space="preserve"> 重复性测量数据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4729"/>
      </w:tblGrid>
      <w:tr w14:paraId="5D16B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7A6335E4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次数</w:t>
            </w:r>
            <w:r>
              <w:rPr>
                <w:rFonts w:ascii="Times New Roman" w:hAnsi="Times New Roman" w:eastAsia="宋体" w:cs="Times New Roman"/>
                <w:i/>
                <w:iCs/>
                <w:szCs w:val="21"/>
              </w:rPr>
              <w:t>n</w:t>
            </w:r>
          </w:p>
        </w:tc>
        <w:tc>
          <w:tcPr>
            <w:tcW w:w="4729" w:type="dxa"/>
            <w:vAlign w:val="center"/>
          </w:tcPr>
          <w:p w14:paraId="4B176F54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 xml:space="preserve">i </w:t>
            </w:r>
            <w:r>
              <w:rPr>
                <w:rFonts w:ascii="Times New Roman" w:hAnsi="Times New Roman" w:eastAsia="宋体" w:cs="Times New Roman"/>
                <w:szCs w:val="21"/>
              </w:rPr>
              <w:t>/T</w:t>
            </w:r>
          </w:p>
        </w:tc>
      </w:tr>
      <w:tr w14:paraId="46DC0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4C0F5A37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4729" w:type="dxa"/>
            <w:vAlign w:val="center"/>
          </w:tcPr>
          <w:p w14:paraId="0404CA93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  <w:vertAlign w:val="subscript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1</w:t>
            </w:r>
          </w:p>
        </w:tc>
      </w:tr>
      <w:tr w14:paraId="6AF8F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03052FAB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4729" w:type="dxa"/>
            <w:vAlign w:val="center"/>
          </w:tcPr>
          <w:p w14:paraId="79025EBA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</w:p>
        </w:tc>
      </w:tr>
      <w:tr w14:paraId="60AD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6CBBB87C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4729" w:type="dxa"/>
            <w:vAlign w:val="center"/>
          </w:tcPr>
          <w:p w14:paraId="78A157AB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</w:p>
        </w:tc>
      </w:tr>
      <w:tr w14:paraId="53B3A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6DC7538E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4729" w:type="dxa"/>
            <w:vAlign w:val="center"/>
          </w:tcPr>
          <w:p w14:paraId="12DD6D38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</w:p>
        </w:tc>
      </w:tr>
      <w:tr w14:paraId="4855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2F70BB84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4729" w:type="dxa"/>
            <w:vAlign w:val="center"/>
          </w:tcPr>
          <w:p w14:paraId="12D67512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  <w:vertAlign w:val="subscript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5</w:t>
            </w:r>
          </w:p>
        </w:tc>
      </w:tr>
      <w:tr w14:paraId="482AE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25E20FB8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4729" w:type="dxa"/>
            <w:vAlign w:val="center"/>
          </w:tcPr>
          <w:p w14:paraId="6C81BC8A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6</w:t>
            </w:r>
          </w:p>
        </w:tc>
      </w:tr>
      <w:tr w14:paraId="76572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318261A2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4729" w:type="dxa"/>
            <w:vAlign w:val="center"/>
          </w:tcPr>
          <w:p w14:paraId="71E842CA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7</w:t>
            </w:r>
          </w:p>
        </w:tc>
      </w:tr>
      <w:tr w14:paraId="6616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09C24B2D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4729" w:type="dxa"/>
            <w:vAlign w:val="center"/>
          </w:tcPr>
          <w:p w14:paraId="7DCABF35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8</w:t>
            </w:r>
          </w:p>
        </w:tc>
      </w:tr>
      <w:tr w14:paraId="0101E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7FC194B2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4729" w:type="dxa"/>
            <w:vAlign w:val="center"/>
          </w:tcPr>
          <w:p w14:paraId="40726E65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9</w:t>
            </w:r>
          </w:p>
        </w:tc>
      </w:tr>
      <w:tr w14:paraId="4FC8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41972A87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4729" w:type="dxa"/>
            <w:vAlign w:val="center"/>
          </w:tcPr>
          <w:p w14:paraId="5F475D07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10</w:t>
            </w:r>
          </w:p>
        </w:tc>
      </w:tr>
    </w:tbl>
    <w:p w14:paraId="60E05591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测量结果的平均值：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31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position w:val="-28"/>
          <w:sz w:val="24"/>
          <w:szCs w:val="24"/>
        </w:rPr>
        <w:object>
          <v:shape id="_x0000_i1032" o:spt="75" type="#_x0000_t75" style="height:33.95pt;width:27.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4"/>
          <w:sz w:val="24"/>
          <w:szCs w:val="24"/>
        </w:rPr>
        <w:object>
          <v:shape id="_x0000_i1033" o:spt="75" type="#_x0000_t75" style="height:14.25pt;width:8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</w:p>
    <w:p w14:paraId="193F77EA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单次测量值的实验标准偏差：</w:t>
      </w:r>
      <w:r>
        <w:rPr>
          <w:rFonts w:ascii="Times New Roman" w:hAnsi="Times New Roman" w:eastAsia="宋体" w:cs="Times New Roman"/>
          <w:i/>
          <w:sz w:val="24"/>
          <w:szCs w:val="24"/>
        </w:rPr>
        <w:t>s</w:t>
      </w:r>
      <w:r>
        <w:rPr>
          <w:rFonts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position w:val="-26"/>
          <w:sz w:val="24"/>
          <w:szCs w:val="24"/>
        </w:rPr>
        <w:object>
          <v:shape id="_x0000_i1034" o:spt="75" type="#_x0000_t75" style="height:52.3pt;width:7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</w:p>
    <w:p w14:paraId="32E8167D">
      <w:pPr>
        <w:spacing w:before="156" w:beforeLines="50" w:after="156" w:afterLines="50"/>
        <w:ind w:left="-3"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4"/>
        </w:rPr>
        <w:t>则取平均值标准偏差作为磁体读数引入的标准不确定度</w:t>
      </w:r>
      <w:bookmarkStart w:id="4" w:name="OLE_LINK3"/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)=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s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/√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n</w:t>
      </w:r>
      <w:bookmarkEnd w:id="4"/>
      <w:r>
        <w:rPr>
          <w:rFonts w:ascii="Times New Roman" w:hAnsi="Times New Roman" w:eastAsia="宋体" w:cs="Times New Roman"/>
          <w:kern w:val="0"/>
          <w:sz w:val="24"/>
          <w:szCs w:val="24"/>
        </w:rPr>
        <w:t>。</w:t>
      </w:r>
    </w:p>
    <w:p w14:paraId="0CB38205">
      <w:pPr>
        <w:spacing w:before="156" w:beforeLines="50" w:after="156" w:afterLines="50"/>
        <w:ind w:left="-3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2.4.2 参考标准引入的标准不确定度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</w:p>
    <w:p w14:paraId="5D8FADAA">
      <w:pPr>
        <w:spacing w:before="156" w:beforeLines="50" w:after="156" w:afterLines="50"/>
        <w:ind w:left="-3"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a）标准磁强计引入的标准不确定度由校准报告中直接给出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。</w:t>
      </w:r>
    </w:p>
    <w:p w14:paraId="6C064745">
      <w:pPr>
        <w:spacing w:before="156" w:beforeLines="50" w:after="156" w:afterLines="50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b）探头磁化引入的标准不确定度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</w:p>
    <w:p w14:paraId="47E90D37">
      <w:pPr>
        <w:spacing w:before="156" w:beforeLines="50" w:after="156" w:afterLines="50"/>
        <w:ind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核磁共振探头进入磁场由于剩磁等原因引起磁场产生畸变，其引入的不确定度相对偏差&lt;1×10</w:t>
      </w:r>
      <w:r>
        <w:rPr>
          <w:rFonts w:ascii="Times New Roman" w:hAnsi="Times New Roman" w:eastAsia="宋体" w:cs="Times New Roman"/>
          <w:sz w:val="24"/>
          <w:szCs w:val="20"/>
          <w:vertAlign w:val="superscript"/>
        </w:rPr>
        <w:t>-6</w:t>
      </w:r>
      <w:r>
        <w:rPr>
          <w:rFonts w:ascii="Times New Roman" w:hAnsi="Times New Roman" w:eastAsia="宋体" w:cs="Times New Roman"/>
          <w:sz w:val="24"/>
          <w:szCs w:val="20"/>
        </w:rPr>
        <w:t>，可认为服从均匀分布，包含因子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k</w:t>
      </w:r>
      <w:r>
        <w:rPr>
          <w:rFonts w:ascii="Times New Roman" w:hAnsi="Times New Roman" w:eastAsia="宋体" w:cs="Times New Roman"/>
          <w:sz w:val="24"/>
          <w:szCs w:val="20"/>
        </w:rPr>
        <w:t>=</w:t>
      </w:r>
      <w:r>
        <w:rPr>
          <w:rFonts w:ascii="Times New Roman" w:hAnsi="Times New Roman" w:eastAsia="宋体" w:cs="Times New Roman"/>
          <w:position w:val="-8"/>
          <w:sz w:val="24"/>
          <w:szCs w:val="20"/>
        </w:rPr>
        <w:object>
          <v:shape id="_x0000_i1035" o:spt="75" type="#_x0000_t75" style="height:18.35pt;width:18.3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，则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=1×10</w:t>
      </w:r>
      <w:r>
        <w:rPr>
          <w:rFonts w:ascii="Times New Roman" w:hAnsi="Times New Roman" w:eastAsia="宋体" w:cs="Times New Roman"/>
          <w:sz w:val="24"/>
          <w:szCs w:val="20"/>
          <w:vertAlign w:val="superscript"/>
        </w:rPr>
        <w:t>-6</w:t>
      </w:r>
      <w:r>
        <w:rPr>
          <w:rFonts w:ascii="Times New Roman" w:hAnsi="Times New Roman" w:eastAsia="宋体" w:cs="Times New Roman"/>
          <w:position w:val="-8"/>
          <w:sz w:val="24"/>
          <w:szCs w:val="20"/>
        </w:rPr>
        <w:object>
          <v:shape id="_x0000_i1036" o:spt="75" type="#_x0000_t75" style="height:18.35pt;width:21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。</w:t>
      </w:r>
    </w:p>
    <w:p w14:paraId="52ACC73A">
      <w:pPr>
        <w:spacing w:before="156" w:beforeLines="50" w:after="156" w:afterLines="50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c）标准磁强计读数引入的标准不确定度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</w:p>
    <w:p w14:paraId="4963EA84">
      <w:pPr>
        <w:spacing w:before="156" w:beforeLines="50" w:after="156" w:afterLines="50"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根据标准磁强计测量数据，</w:t>
      </w:r>
      <w:r>
        <w:rPr>
          <w:rFonts w:ascii="Times New Roman" w:hAnsi="Times New Roman" w:eastAsia="宋体" w:cs="Times New Roman"/>
          <w:sz w:val="24"/>
          <w:szCs w:val="20"/>
        </w:rPr>
        <w:t>采用统计评定方法，</w:t>
      </w:r>
      <w:r>
        <w:rPr>
          <w:rFonts w:ascii="宋体" w:hAnsi="宋体" w:eastAsia="宋体" w:cs="Times New Roman"/>
          <w:sz w:val="24"/>
          <w:szCs w:val="24"/>
        </w:rPr>
        <w:t>在相同环境条件下，重复读取多次，获得数据如表2所示。</w:t>
      </w:r>
    </w:p>
    <w:p w14:paraId="192899C1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表2 </w:t>
      </w:r>
      <w:r>
        <w:rPr>
          <w:rFonts w:ascii="Times New Roman" w:hAnsi="Times New Roman" w:eastAsia="宋体" w:cs="Times New Roman"/>
          <w:szCs w:val="21"/>
        </w:rPr>
        <w:t xml:space="preserve"> 测量数据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4729"/>
      </w:tblGrid>
      <w:tr w14:paraId="5E4E0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459F45BF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次数/</w:t>
            </w:r>
            <w:r>
              <w:rPr>
                <w:rFonts w:ascii="Times New Roman" w:hAnsi="Times New Roman" w:eastAsia="宋体" w:cs="Times New Roman"/>
                <w:i/>
                <w:iCs/>
                <w:szCs w:val="21"/>
              </w:rPr>
              <w:t>n</w:t>
            </w:r>
          </w:p>
        </w:tc>
        <w:tc>
          <w:tcPr>
            <w:tcW w:w="4729" w:type="dxa"/>
            <w:vAlign w:val="center"/>
          </w:tcPr>
          <w:p w14:paraId="0A4398EA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 xml:space="preserve">i </w:t>
            </w:r>
            <w:r>
              <w:rPr>
                <w:rFonts w:ascii="Times New Roman" w:hAnsi="Times New Roman" w:eastAsia="宋体" w:cs="Times New Roman"/>
                <w:szCs w:val="21"/>
              </w:rPr>
              <w:t>/Hz</w:t>
            </w:r>
          </w:p>
        </w:tc>
      </w:tr>
      <w:tr w14:paraId="157A6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7317F8FB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4729" w:type="dxa"/>
            <w:vAlign w:val="center"/>
          </w:tcPr>
          <w:p w14:paraId="79B7A679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  <w:vertAlign w:val="subscript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1</w:t>
            </w:r>
          </w:p>
        </w:tc>
      </w:tr>
      <w:tr w14:paraId="56693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131CBE71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4729" w:type="dxa"/>
            <w:vAlign w:val="center"/>
          </w:tcPr>
          <w:p w14:paraId="50C2A60E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</w:p>
        </w:tc>
      </w:tr>
      <w:tr w14:paraId="02B27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1DBBE37B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4729" w:type="dxa"/>
            <w:vAlign w:val="center"/>
          </w:tcPr>
          <w:p w14:paraId="4C12A78C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</w:p>
        </w:tc>
      </w:tr>
      <w:tr w14:paraId="41647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12E87E13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4729" w:type="dxa"/>
            <w:vAlign w:val="center"/>
          </w:tcPr>
          <w:p w14:paraId="7C396855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</w:p>
        </w:tc>
      </w:tr>
      <w:tr w14:paraId="170D1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46108272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4729" w:type="dxa"/>
            <w:vAlign w:val="center"/>
          </w:tcPr>
          <w:p w14:paraId="02692716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  <w:vertAlign w:val="subscript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5</w:t>
            </w:r>
          </w:p>
        </w:tc>
      </w:tr>
      <w:tr w14:paraId="0BA2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6C5FEF14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4729" w:type="dxa"/>
            <w:vAlign w:val="center"/>
          </w:tcPr>
          <w:p w14:paraId="3763D2FE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6</w:t>
            </w:r>
          </w:p>
        </w:tc>
      </w:tr>
      <w:tr w14:paraId="027FE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69120A11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4729" w:type="dxa"/>
            <w:vAlign w:val="center"/>
          </w:tcPr>
          <w:p w14:paraId="74191D24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7</w:t>
            </w:r>
          </w:p>
        </w:tc>
      </w:tr>
      <w:tr w14:paraId="2AAAC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00F37130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4729" w:type="dxa"/>
            <w:vAlign w:val="center"/>
          </w:tcPr>
          <w:p w14:paraId="1649DCDD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8</w:t>
            </w:r>
          </w:p>
        </w:tc>
      </w:tr>
      <w:tr w14:paraId="62B79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753B4321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4729" w:type="dxa"/>
            <w:vAlign w:val="center"/>
          </w:tcPr>
          <w:p w14:paraId="7D8B43DE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9</w:t>
            </w:r>
          </w:p>
        </w:tc>
      </w:tr>
      <w:tr w14:paraId="17C87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3841D32F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4729" w:type="dxa"/>
            <w:vAlign w:val="center"/>
          </w:tcPr>
          <w:p w14:paraId="504F9308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10</w:t>
            </w:r>
          </w:p>
        </w:tc>
      </w:tr>
    </w:tbl>
    <w:p w14:paraId="004C7538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测量结果的平均值：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37" o:spt="75" type="#_x0000_t75" style="height:17pt;width:10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position w:val="-24"/>
          <w:sz w:val="24"/>
          <w:szCs w:val="24"/>
        </w:rPr>
        <w:object>
          <v:shape id="_x0000_i1038" o:spt="75" type="#_x0000_t75" style="height:31.25pt;width:16.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28"/>
          <w:sz w:val="24"/>
          <w:szCs w:val="24"/>
        </w:rPr>
        <w:object>
          <v:shape id="_x0000_i1039" o:spt="75" type="#_x0000_t75" style="height:33.95pt;width:27.8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</w:p>
    <w:p w14:paraId="10398A70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单次测量值的实验标准偏差：</w:t>
      </w:r>
      <w:r>
        <w:rPr>
          <w:rFonts w:ascii="Times New Roman" w:hAnsi="Times New Roman" w:eastAsia="宋体" w:cs="Times New Roman"/>
          <w:i/>
          <w:sz w:val="24"/>
          <w:szCs w:val="24"/>
        </w:rPr>
        <w:t>s</w:t>
      </w:r>
      <w:r>
        <w:rPr>
          <w:rFonts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position w:val="-26"/>
          <w:sz w:val="24"/>
          <w:szCs w:val="24"/>
        </w:rPr>
        <w:object>
          <v:shape id="_x0000_i1040" o:spt="75" type="#_x0000_t75" style="height:52.3pt;width:67.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</w:p>
    <w:p w14:paraId="0A809ACC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则</w:t>
      </w:r>
      <w:r>
        <w:rPr>
          <w:rFonts w:ascii="宋体" w:hAnsi="Courier New" w:eastAsia="宋体" w:cs="Times New Roman"/>
          <w:sz w:val="24"/>
          <w:szCs w:val="24"/>
        </w:rPr>
        <w:t>取平均值标准偏差作为标准磁强计读数引入的标准不确定度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)=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s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/√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02BF371F">
      <w:pPr>
        <w:spacing w:before="156" w:beforeLines="50" w:after="156" w:afterLines="5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2.5不</w:t>
      </w:r>
      <w:r>
        <w:rPr>
          <w:rFonts w:ascii="宋体" w:hAnsi="宋体" w:eastAsia="宋体" w:cs="Times New Roman"/>
          <w:sz w:val="24"/>
          <w:szCs w:val="20"/>
        </w:rPr>
        <w:t>确定度综合</w:t>
      </w:r>
    </w:p>
    <w:p w14:paraId="7CB24FF8">
      <w:pPr>
        <w:spacing w:before="156" w:beforeLines="50" w:after="156" w:afterLines="50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宋体" w:hAnsi="宋体" w:eastAsia="宋体" w:cs="Times New Roman"/>
          <w:sz w:val="24"/>
          <w:szCs w:val="20"/>
        </w:rPr>
        <w:t>根据各标准不确定度分量来源，标准不确定度合成如下：</w:t>
      </w:r>
    </w:p>
    <w:p w14:paraId="5FB2D9D5">
      <w:pPr>
        <w:spacing w:before="156" w:beforeLines="50" w:after="156" w:afterLines="50"/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position w:val="-13"/>
          <w:sz w:val="24"/>
          <w:szCs w:val="24"/>
        </w:rPr>
        <w:object>
          <v:shape id="_x0000_i1041" o:spt="75" type="#_x0000_t75" style="height:22.4pt;width:282.5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041" DrawAspect="Content" ObjectID="_1468075741" r:id="rId37">
            <o:LockedField>false</o:LockedField>
          </o:OLEObject>
        </w:object>
      </w:r>
    </w:p>
    <w:p w14:paraId="6B5BA35B">
      <w:pPr>
        <w:spacing w:before="156" w:beforeLines="50" w:after="156" w:afterLines="50"/>
        <w:ind w:firstLine="480" w:firstLineChars="200"/>
        <w:rPr>
          <w:rFonts w:ascii="Times New Roman" w:hAnsi="Times New Roman" w:eastAsia="宋体" w:cs="Times New Roman"/>
          <w:sz w:val="24"/>
          <w:szCs w:val="20"/>
          <w:vertAlign w:val="subscript"/>
        </w:rPr>
      </w:pPr>
      <w:r>
        <w:rPr>
          <w:rFonts w:ascii="宋体" w:hAnsi="宋体" w:eastAsia="宋体" w:cs="Times New Roman"/>
          <w:sz w:val="24"/>
          <w:szCs w:val="20"/>
        </w:rPr>
        <w:t>扩展不确定度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sz w:val="24"/>
          <w:szCs w:val="20"/>
          <w:vertAlign w:val="subscript"/>
        </w:rPr>
        <w:t>rel</w:t>
      </w:r>
    </w:p>
    <w:p w14:paraId="3596D83D">
      <w:pPr>
        <w:spacing w:before="156" w:beforeLines="50" w:after="156" w:afterLines="50"/>
        <w:ind w:left="357"/>
        <w:jc w:val="center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sz w:val="24"/>
          <w:szCs w:val="20"/>
          <w:vertAlign w:val="subscript"/>
        </w:rPr>
        <w:t>rel</w:t>
      </w:r>
      <w:r>
        <w:rPr>
          <w:rFonts w:ascii="Times New Roman" w:hAnsi="Times New Roman" w:eastAsia="宋体" w:cs="Times New Roman"/>
          <w:sz w:val="24"/>
          <w:szCs w:val="20"/>
        </w:rPr>
        <w:t>=</w:t>
      </w:r>
      <w:r>
        <w:rPr>
          <w:rFonts w:ascii="Times New Roman" w:hAnsi="Times New Roman" w:eastAsia="宋体" w:cs="Times New Roman"/>
          <w:i/>
          <w:sz w:val="24"/>
          <w:szCs w:val="20"/>
        </w:rPr>
        <w:t>ku</w:t>
      </w:r>
      <w:r>
        <w:rPr>
          <w:rFonts w:ascii="Times New Roman" w:hAnsi="Times New Roman" w:eastAsia="宋体" w:cs="Times New Roman"/>
          <w:sz w:val="24"/>
          <w:szCs w:val="20"/>
          <w:vertAlign w:val="subscript"/>
        </w:rPr>
        <w:t>c</w:t>
      </w:r>
      <w:r>
        <w:rPr>
          <w:rFonts w:ascii="Times New Roman" w:hAnsi="Times New Roman" w:eastAsia="宋体" w:cs="Times New Roman"/>
          <w:sz w:val="24"/>
          <w:szCs w:val="20"/>
        </w:rPr>
        <w:t>(</w:t>
      </w:r>
      <w:r>
        <w:rPr>
          <w:rFonts w:ascii="Cambria Math" w:hAnsi="Cambria Math" w:eastAsia="宋体" w:cs="Cambria Math"/>
          <w:sz w:val="18"/>
          <w:szCs w:val="13"/>
        </w:rPr>
        <w:t>△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B</w:t>
      </w:r>
      <w:r>
        <w:rPr>
          <w:rFonts w:ascii="Times New Roman" w:hAnsi="Times New Roman" w:eastAsia="宋体" w:cs="Times New Roman"/>
          <w:sz w:val="24"/>
          <w:szCs w:val="20"/>
        </w:rPr>
        <w:t>)，</w:t>
      </w:r>
      <w:r>
        <w:rPr>
          <w:rFonts w:ascii="Times New Roman" w:hAnsi="Times New Roman" w:eastAsia="宋体" w:cs="Times New Roman"/>
          <w:i/>
          <w:sz w:val="24"/>
          <w:szCs w:val="20"/>
        </w:rPr>
        <w:t>k</w:t>
      </w:r>
      <w:r>
        <w:rPr>
          <w:rFonts w:ascii="Times New Roman" w:hAnsi="Times New Roman" w:eastAsia="宋体" w:cs="Times New Roman"/>
          <w:sz w:val="24"/>
          <w:szCs w:val="20"/>
        </w:rPr>
        <w:t>=2</w:t>
      </w:r>
    </w:p>
    <w:p w14:paraId="76F27180">
      <w:pPr>
        <w:spacing w:before="156" w:beforeLines="50" w:after="156" w:afterLines="5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2.6</w:t>
      </w:r>
      <w:r>
        <w:rPr>
          <w:rFonts w:ascii="宋体" w:hAnsi="宋体" w:eastAsia="宋体" w:cs="Times New Roman"/>
          <w:sz w:val="24"/>
          <w:szCs w:val="20"/>
        </w:rPr>
        <w:t xml:space="preserve"> 结果报告</w:t>
      </w:r>
    </w:p>
    <w:p w14:paraId="4DF9376E">
      <w:pPr>
        <w:spacing w:before="156" w:beforeLines="50" w:after="156" w:afterLines="50"/>
        <w:ind w:firstLine="480" w:firstLineChars="2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ascii="宋体" w:hAnsi="宋体" w:eastAsia="宋体" w:cs="Times New Roman"/>
          <w:sz w:val="24"/>
          <w:szCs w:val="20"/>
        </w:rPr>
        <w:t>被校高场磁体参考标准值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B</w:t>
      </w:r>
      <w:r>
        <w:rPr>
          <w:rFonts w:ascii="Times New Roman" w:hAnsi="Times New Roman" w:eastAsia="宋体" w:cs="Times New Roman"/>
          <w:sz w:val="24"/>
          <w:szCs w:val="20"/>
          <w:vertAlign w:val="subscript"/>
        </w:rPr>
        <w:t>N</w:t>
      </w:r>
      <w:r>
        <w:rPr>
          <w:rFonts w:ascii="Times New Roman" w:hAnsi="Times New Roman" w:eastAsia="宋体" w:cs="Times New Roman"/>
          <w:sz w:val="24"/>
          <w:szCs w:val="20"/>
        </w:rPr>
        <w:t>，</w:t>
      </w:r>
      <w:r>
        <w:rPr>
          <w:rFonts w:ascii="宋体" w:hAnsi="宋体" w:eastAsia="宋体" w:cs="Times New Roman"/>
          <w:sz w:val="24"/>
          <w:szCs w:val="20"/>
        </w:rPr>
        <w:t xml:space="preserve">示值误差 </w:t>
      </w:r>
      <w:r>
        <w:rPr>
          <w:rFonts w:ascii="Times New Roman" w:hAnsi="Times New Roman" w:eastAsia="宋体" w:cs="Times New Roman"/>
          <w:kern w:val="0"/>
          <w:position w:val="-4"/>
          <w:sz w:val="24"/>
          <w:szCs w:val="24"/>
        </w:rPr>
        <w:object>
          <v:shape id="_x0000_i1042" o:spt="75" type="#_x0000_t75" style="height:12.9pt;width:1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，其扩展不确定度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sz w:val="24"/>
          <w:szCs w:val="20"/>
          <w:vertAlign w:val="subscript"/>
        </w:rPr>
        <w:t>rel</w:t>
      </w:r>
      <w:r>
        <w:rPr>
          <w:rFonts w:ascii="Times New Roman" w:hAnsi="Times New Roman" w:eastAsia="宋体" w:cs="Times New Roman"/>
          <w:sz w:val="24"/>
          <w:szCs w:val="20"/>
        </w:rPr>
        <w:t>=</w:t>
      </w:r>
      <w:r>
        <w:rPr>
          <w:rFonts w:ascii="Times New Roman" w:hAnsi="Times New Roman" w:eastAsia="宋体" w:cs="Times New Roman"/>
          <w:i/>
          <w:sz w:val="24"/>
          <w:szCs w:val="20"/>
        </w:rPr>
        <w:t>ku</w:t>
      </w:r>
      <w:r>
        <w:rPr>
          <w:rFonts w:ascii="Times New Roman" w:hAnsi="Times New Roman" w:eastAsia="宋体" w:cs="Times New Roman"/>
          <w:sz w:val="24"/>
          <w:szCs w:val="20"/>
          <w:vertAlign w:val="subscript"/>
        </w:rPr>
        <w:t>c</w:t>
      </w:r>
      <w:r>
        <w:rPr>
          <w:rFonts w:ascii="Times New Roman" w:hAnsi="Times New Roman" w:eastAsia="宋体" w:cs="Times New Roman"/>
          <w:sz w:val="24"/>
          <w:szCs w:val="20"/>
        </w:rPr>
        <w:t>，</w:t>
      </w:r>
      <w:r>
        <w:rPr>
          <w:rFonts w:ascii="Times New Roman" w:hAnsi="Times New Roman" w:eastAsia="宋体" w:cs="Times New Roman"/>
          <w:i/>
          <w:sz w:val="24"/>
          <w:szCs w:val="20"/>
        </w:rPr>
        <w:t>k</w:t>
      </w:r>
      <w:r>
        <w:rPr>
          <w:rFonts w:ascii="Times New Roman" w:hAnsi="Times New Roman" w:eastAsia="宋体" w:cs="Times New Roman"/>
          <w:sz w:val="24"/>
          <w:szCs w:val="20"/>
        </w:rPr>
        <w:t>=2。</w:t>
      </w:r>
    </w:p>
    <w:p w14:paraId="7B48104E">
      <w:pPr>
        <w:jc w:val="left"/>
        <w:rPr>
          <w:rFonts w:hint="eastAsia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3FFF0">
    <w:pPr>
      <w:pStyle w:val="6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F98430"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F98430">
                    <w:pPr>
                      <w:pStyle w:val="6"/>
                      <w:rPr>
                        <w:rFonts w:hint="eastAsia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FF2E01"/>
    <w:multiLevelType w:val="multilevel"/>
    <w:tmpl w:val="27FF2E01"/>
    <w:lvl w:ilvl="0" w:tentative="0">
      <w:start w:val="1"/>
      <w:numFmt w:val="decimal"/>
      <w:pStyle w:val="2"/>
      <w:lvlText w:val="%1"/>
      <w:lvlJc w:val="left"/>
      <w:pPr>
        <w:tabs>
          <w:tab w:val="left" w:pos="425"/>
        </w:tabs>
        <w:ind w:left="425" w:hanging="425"/>
      </w:pPr>
      <w:rPr>
        <w:rFonts w:hint="eastAsia" w:ascii="黑体" w:eastAsia="黑体"/>
        <w:b w:val="0"/>
        <w:i w:val="0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1107"/>
        </w:tabs>
        <w:ind w:left="1107" w:hanging="567"/>
      </w:pPr>
      <w:rPr>
        <w:rFonts w:hint="eastAsia" w:ascii="宋体" w:hAnsi="宋体" w:eastAsia="宋体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tabs>
          <w:tab w:val="left" w:pos="1277"/>
        </w:tabs>
        <w:ind w:left="1277" w:hanging="709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lvlText w:val="%1.%2.%3.%4"/>
      <w:lvlJc w:val="left"/>
      <w:pPr>
        <w:tabs>
          <w:tab w:val="left" w:pos="851"/>
        </w:tabs>
        <w:ind w:left="851" w:hanging="851"/>
      </w:pPr>
      <w:rPr>
        <w:rFonts w:hint="default" w:ascii="Arial" w:hAnsi="Arial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lZjg2NTcwMDRlZTVkOTUzOTA2ODk3MDgxMGQ2NmEifQ=="/>
  </w:docVars>
  <w:rsids>
    <w:rsidRoot w:val="00E7363B"/>
    <w:rsid w:val="0000540E"/>
    <w:rsid w:val="000D50AC"/>
    <w:rsid w:val="0012519D"/>
    <w:rsid w:val="00146B5A"/>
    <w:rsid w:val="00171D58"/>
    <w:rsid w:val="001A1F28"/>
    <w:rsid w:val="001E22CB"/>
    <w:rsid w:val="001E518D"/>
    <w:rsid w:val="00287D86"/>
    <w:rsid w:val="002F0AFD"/>
    <w:rsid w:val="00315B67"/>
    <w:rsid w:val="00354E77"/>
    <w:rsid w:val="00390950"/>
    <w:rsid w:val="00411505"/>
    <w:rsid w:val="00411DE2"/>
    <w:rsid w:val="00423906"/>
    <w:rsid w:val="004B1C1B"/>
    <w:rsid w:val="004E0CD6"/>
    <w:rsid w:val="004F592E"/>
    <w:rsid w:val="00552A5D"/>
    <w:rsid w:val="00556993"/>
    <w:rsid w:val="005737AB"/>
    <w:rsid w:val="005B00AD"/>
    <w:rsid w:val="005E7A8C"/>
    <w:rsid w:val="00613493"/>
    <w:rsid w:val="006958DD"/>
    <w:rsid w:val="006F3A8C"/>
    <w:rsid w:val="00702800"/>
    <w:rsid w:val="00724315"/>
    <w:rsid w:val="0073288F"/>
    <w:rsid w:val="007F2162"/>
    <w:rsid w:val="0083674C"/>
    <w:rsid w:val="00856D97"/>
    <w:rsid w:val="00876DB3"/>
    <w:rsid w:val="008F6CEF"/>
    <w:rsid w:val="0090589F"/>
    <w:rsid w:val="009763B7"/>
    <w:rsid w:val="00984853"/>
    <w:rsid w:val="00997F5E"/>
    <w:rsid w:val="009C7331"/>
    <w:rsid w:val="009E0C11"/>
    <w:rsid w:val="009F3015"/>
    <w:rsid w:val="00A82C95"/>
    <w:rsid w:val="00A8488D"/>
    <w:rsid w:val="00B01496"/>
    <w:rsid w:val="00BA26C5"/>
    <w:rsid w:val="00BD64BE"/>
    <w:rsid w:val="00BF2453"/>
    <w:rsid w:val="00BF36BC"/>
    <w:rsid w:val="00C30C26"/>
    <w:rsid w:val="00CE18FE"/>
    <w:rsid w:val="00D16E0A"/>
    <w:rsid w:val="00DD14FB"/>
    <w:rsid w:val="00DF4867"/>
    <w:rsid w:val="00E07FFC"/>
    <w:rsid w:val="00E34AD3"/>
    <w:rsid w:val="00E35B83"/>
    <w:rsid w:val="00E73379"/>
    <w:rsid w:val="00E7363B"/>
    <w:rsid w:val="00E80F20"/>
    <w:rsid w:val="00E94E59"/>
    <w:rsid w:val="00F52C47"/>
    <w:rsid w:val="00F81BD0"/>
    <w:rsid w:val="01E64F24"/>
    <w:rsid w:val="092248A9"/>
    <w:rsid w:val="0DBA12E6"/>
    <w:rsid w:val="102D030C"/>
    <w:rsid w:val="138B1089"/>
    <w:rsid w:val="14C1341E"/>
    <w:rsid w:val="15DC4E6F"/>
    <w:rsid w:val="20BF0717"/>
    <w:rsid w:val="239077E7"/>
    <w:rsid w:val="23912612"/>
    <w:rsid w:val="23983A20"/>
    <w:rsid w:val="278247CB"/>
    <w:rsid w:val="27C064D0"/>
    <w:rsid w:val="2B030A92"/>
    <w:rsid w:val="34883C71"/>
    <w:rsid w:val="392413A2"/>
    <w:rsid w:val="3B9D0ED3"/>
    <w:rsid w:val="3D9354CB"/>
    <w:rsid w:val="408B4299"/>
    <w:rsid w:val="41E535AC"/>
    <w:rsid w:val="4292033E"/>
    <w:rsid w:val="45A46C87"/>
    <w:rsid w:val="4D8C33FE"/>
    <w:rsid w:val="528B715B"/>
    <w:rsid w:val="588E3B4D"/>
    <w:rsid w:val="6B0D4A2E"/>
    <w:rsid w:val="6F0A18C8"/>
    <w:rsid w:val="71893B7B"/>
    <w:rsid w:val="758D0287"/>
    <w:rsid w:val="7B8E01BE"/>
    <w:rsid w:val="7C46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numPr>
        <w:ilvl w:val="0"/>
        <w:numId w:val="1"/>
      </w:numPr>
      <w:snapToGrid w:val="0"/>
      <w:spacing w:before="156" w:beforeLines="50" w:after="156" w:afterLines="50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3">
    <w:name w:val="heading 2"/>
    <w:basedOn w:val="1"/>
    <w:next w:val="1"/>
    <w:link w:val="14"/>
    <w:autoRedefine/>
    <w:qFormat/>
    <w:uiPriority w:val="9"/>
    <w:pPr>
      <w:keepNext/>
      <w:widowControl/>
      <w:spacing w:before="240" w:after="60" w:line="300" w:lineRule="auto"/>
      <w:jc w:val="left"/>
      <w:outlineLvl w:val="1"/>
    </w:pPr>
    <w:rPr>
      <w:rFonts w:ascii="Cambria" w:hAnsi="Cambria" w:eastAsia="宋体" w:cs="Times New Roman"/>
      <w:b/>
      <w:bCs/>
      <w:iCs/>
      <w:kern w:val="0"/>
      <w:sz w:val="24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semiHidden/>
    <w:qFormat/>
    <w:uiPriority w:val="0"/>
    <w:pPr>
      <w:jc w:val="left"/>
    </w:pPr>
  </w:style>
  <w:style w:type="paragraph" w:styleId="5">
    <w:name w:val="Body Text Indent"/>
    <w:basedOn w:val="1"/>
    <w:link w:val="19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0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semiHidden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4">
    <w:name w:val="标题 2 字符"/>
    <w:basedOn w:val="10"/>
    <w:link w:val="3"/>
    <w:qFormat/>
    <w:uiPriority w:val="9"/>
    <w:rPr>
      <w:rFonts w:ascii="Cambria" w:hAnsi="Cambria" w:eastAsia="宋体" w:cs="Times New Roman"/>
      <w:b/>
      <w:bCs/>
      <w:iCs/>
      <w:kern w:val="0"/>
      <w:sz w:val="24"/>
      <w:szCs w:val="28"/>
    </w:rPr>
  </w:style>
  <w:style w:type="paragraph" w:styleId="15">
    <w:name w:val="No Spacing"/>
    <w:basedOn w:val="1"/>
    <w:autoRedefine/>
    <w:qFormat/>
    <w:uiPriority w:val="1"/>
    <w:pPr>
      <w:widowControl/>
      <w:jc w:val="left"/>
    </w:pPr>
    <w:rPr>
      <w:rFonts w:ascii="Times New Roman" w:hAnsi="Times New Roman" w:eastAsia="宋体" w:cs="Times New Roman"/>
      <w:kern w:val="0"/>
      <w:sz w:val="24"/>
      <w:szCs w:val="32"/>
    </w:rPr>
  </w:style>
  <w:style w:type="character" w:customStyle="1" w:styleId="16">
    <w:name w:val="段 Char"/>
    <w:link w:val="17"/>
    <w:autoRedefine/>
    <w:qFormat/>
    <w:uiPriority w:val="0"/>
    <w:rPr>
      <w:rFonts w:ascii="宋体"/>
    </w:rPr>
  </w:style>
  <w:style w:type="paragraph" w:customStyle="1" w:styleId="17">
    <w:name w:val="段"/>
    <w:link w:val="16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8">
    <w:name w:val="标题 1 字符"/>
    <w:link w:val="2"/>
    <w:qFormat/>
    <w:uiPriority w:val="0"/>
    <w:rPr>
      <w:rFonts w:ascii="黑体" w:eastAsia="黑体"/>
      <w:color w:val="000000"/>
      <w:sz w:val="24"/>
      <w:szCs w:val="24"/>
    </w:rPr>
  </w:style>
  <w:style w:type="character" w:customStyle="1" w:styleId="19">
    <w:name w:val="正文文本缩进 字符"/>
    <w:basedOn w:val="10"/>
    <w:link w:val="5"/>
    <w:autoRedefine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753</Words>
  <Characters>842</Characters>
  <Lines>14</Lines>
  <Paragraphs>4</Paragraphs>
  <TotalTime>38</TotalTime>
  <ScaleCrop>false</ScaleCrop>
  <LinksUpToDate>false</LinksUpToDate>
  <CharactersWithSpaces>851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2026-07-07T08:12:00Z</dcterms:created>
  <dc:creator>Yang Yan</dc:creator>
  <cp:lastModifiedBy>黄未</cp:lastModifiedBy>
  <dcterms:modified xsi:type="dcterms:W3CDTF">2026-07-24T06:39:58Z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FDF72FE912B94EFD8C7A52488F8743CE</vt:lpwstr>
  </property>
  <property fmtid="{D5CDD505-2E9C-101B-9397-08002B2CF9AE}" pid="4" name="KSOTemplateDocerSaveRecord">
    <vt:lpwstr>eyJoZGlkIjoiNDRiZWQ5NzlkMjE3Nzk2ODY5Mjk4OTE1NGIyMGUwZTIiLCJ1c2VySWQiOiIxMTUwNjMxMDcwIn0=</vt:lpwstr>
  </property>
</Properties>
</file>